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4D" w:rsidRPr="00674845" w:rsidRDefault="001F614D" w:rsidP="00674845">
      <w:pPr>
        <w:tabs>
          <w:tab w:val="left" w:pos="11910"/>
        </w:tabs>
        <w:rPr>
          <w:rFonts w:ascii="Times New Roman CYR" w:hAnsi="Times New Roman CYR" w:cs="Times New Roman CYR"/>
          <w:lang w:val="en-US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462F8E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Pr="00674845" w:rsidRDefault="001F614D" w:rsidP="00674845">
      <w:pPr>
        <w:tabs>
          <w:tab w:val="left" w:pos="11910"/>
        </w:tabs>
        <w:rPr>
          <w:rFonts w:ascii="Times New Roman CYR" w:hAnsi="Times New Roman CYR" w:cs="Times New Roman CYR"/>
          <w:lang w:val="en-US"/>
        </w:rPr>
      </w:pPr>
    </w:p>
    <w:p w:rsidR="001F614D" w:rsidRDefault="001F614D" w:rsidP="00462F8E">
      <w:pPr>
        <w:tabs>
          <w:tab w:val="left" w:pos="11910"/>
        </w:tabs>
        <w:rPr>
          <w:rFonts w:ascii="Times New Roman CYR" w:hAnsi="Times New Roman CYR" w:cs="Times New Roman CYR"/>
        </w:rPr>
        <w:sectPr w:rsidR="001F614D" w:rsidSect="001F614D">
          <w:pgSz w:w="16838" w:h="11906" w:orient="landscape" w:code="9"/>
          <w:pgMar w:top="1134" w:right="278" w:bottom="992" w:left="851" w:header="709" w:footer="709" w:gutter="0"/>
          <w:cols w:space="708"/>
          <w:docGrid w:linePitch="360"/>
        </w:sectPr>
      </w:pPr>
    </w:p>
    <w:p w:rsidR="001F614D" w:rsidRDefault="001F614D" w:rsidP="00462F8E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right"/>
        <w:rPr>
          <w:rFonts w:ascii="Times New Roman CYR" w:hAnsi="Times New Roman CYR" w:cs="Times New Roman CYR"/>
        </w:rPr>
      </w:pPr>
    </w:p>
    <w:p w:rsidR="001F614D" w:rsidRDefault="001F614D" w:rsidP="001F614D">
      <w:pPr>
        <w:jc w:val="right"/>
        <w:rPr>
          <w:b/>
        </w:rPr>
      </w:pPr>
    </w:p>
    <w:p w:rsidR="001F614D" w:rsidRDefault="001F614D" w:rsidP="001F614D">
      <w:pPr>
        <w:jc w:val="center"/>
        <w:rPr>
          <w:b/>
          <w:bCs/>
        </w:rPr>
      </w:pPr>
      <w:r>
        <w:rPr>
          <w:b/>
          <w:bCs/>
        </w:rPr>
        <w:t>Типовая форма паспорта</w:t>
      </w:r>
    </w:p>
    <w:p w:rsidR="001F614D" w:rsidRDefault="001F614D" w:rsidP="001F614D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организаций отдыха и оздоровления детей и подростков</w:t>
      </w:r>
    </w:p>
    <w:p w:rsidR="001F614D" w:rsidRDefault="00C9274B" w:rsidP="001F614D">
      <w:pPr>
        <w:pBdr>
          <w:bottom w:val="single" w:sz="12" w:space="1" w:color="auto"/>
        </w:pBdr>
        <w:jc w:val="center"/>
        <w:rPr>
          <w:bCs/>
        </w:rPr>
      </w:pPr>
      <w:r>
        <w:t>Муниципальное казенное общеобразовательное учреждение Ханты-мансийского района «Средняя общеобразовательная школа» п. Бобровский</w:t>
      </w:r>
    </w:p>
    <w:p w:rsidR="001F614D" w:rsidRDefault="001F614D" w:rsidP="001F614D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1F614D" w:rsidRPr="00C9274B" w:rsidRDefault="00C9274B" w:rsidP="001F614D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Администрация Ханты-Мансийского района</w:t>
      </w:r>
    </w:p>
    <w:p w:rsidR="001F614D" w:rsidRDefault="001F614D" w:rsidP="001F614D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1F614D" w:rsidRDefault="001F614D" w:rsidP="001F614D">
      <w:pPr>
        <w:rPr>
          <w:bCs/>
        </w:rPr>
      </w:pPr>
    </w:p>
    <w:p w:rsidR="001F614D" w:rsidRDefault="004F5E1B" w:rsidP="001F614D">
      <w:pPr>
        <w:jc w:val="center"/>
        <w:rPr>
          <w:bCs/>
        </w:rPr>
      </w:pPr>
      <w:r>
        <w:rPr>
          <w:bCs/>
        </w:rPr>
        <w:t>по состоянию на «</w:t>
      </w:r>
      <w:r w:rsidR="008F167A">
        <w:rPr>
          <w:bCs/>
        </w:rPr>
        <w:t>20</w:t>
      </w:r>
      <w:r>
        <w:rPr>
          <w:bCs/>
        </w:rPr>
        <w:t>»</w:t>
      </w:r>
      <w:r w:rsidRPr="00974221">
        <w:rPr>
          <w:bCs/>
        </w:rPr>
        <w:t xml:space="preserve"> </w:t>
      </w:r>
      <w:r w:rsidR="008F167A">
        <w:rPr>
          <w:bCs/>
        </w:rPr>
        <w:t>января</w:t>
      </w:r>
      <w:r w:rsidR="001F614D">
        <w:rPr>
          <w:bCs/>
        </w:rPr>
        <w:t>20</w:t>
      </w:r>
      <w:r w:rsidR="008F167A">
        <w:rPr>
          <w:bCs/>
        </w:rPr>
        <w:t>12</w:t>
      </w:r>
      <w:r w:rsidR="001F614D">
        <w:rPr>
          <w:bCs/>
        </w:rPr>
        <w:t>г.</w:t>
      </w:r>
    </w:p>
    <w:p w:rsidR="001F614D" w:rsidRDefault="001F614D" w:rsidP="001F614D">
      <w:pPr>
        <w:jc w:val="both"/>
      </w:pPr>
    </w:p>
    <w:tbl>
      <w:tblPr>
        <w:tblW w:w="92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35"/>
        <w:gridCol w:w="32"/>
        <w:gridCol w:w="8"/>
        <w:gridCol w:w="94"/>
        <w:gridCol w:w="306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580"/>
      </w:tblGrid>
      <w:tr w:rsidR="001F614D" w:rsidTr="00974221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8F167A" w:rsidP="008F167A">
            <w:pPr>
              <w:shd w:val="clear" w:color="auto" w:fill="FFFFFF"/>
              <w:spacing w:after="200" w:line="276" w:lineRule="auto"/>
              <w:jc w:val="both"/>
            </w:pPr>
            <w:r>
              <w:t>Муниципальное казенное общеобразовательное учреждение Ханты-мансийского района «Средняя общеобразовательная школа» п. Бобровский</w:t>
            </w:r>
            <w:r w:rsidR="00D83E76">
              <w:t xml:space="preserve"> Лагерь дневного пребывания</w:t>
            </w:r>
          </w:p>
          <w:p w:rsidR="00D83E76" w:rsidRDefault="00D83E76" w:rsidP="008F167A">
            <w:pPr>
              <w:shd w:val="clear" w:color="auto" w:fill="FFFFFF"/>
              <w:spacing w:after="200" w:line="276" w:lineRule="auto"/>
              <w:jc w:val="both"/>
            </w:pPr>
            <w:r>
              <w:t>«Радуга»</w:t>
            </w:r>
          </w:p>
          <w:p w:rsidR="008F167A" w:rsidRDefault="008F167A" w:rsidP="008F167A">
            <w:pPr>
              <w:shd w:val="clear" w:color="auto" w:fill="FFFFFF"/>
              <w:spacing w:after="200" w:line="276" w:lineRule="auto"/>
              <w:jc w:val="both"/>
            </w:pPr>
            <w:r>
              <w:t>ИНН:8618004796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67A" w:rsidRPr="00F07232" w:rsidRDefault="008F167A" w:rsidP="008F167A">
            <w:pPr>
              <w:ind w:right="-1"/>
            </w:pPr>
            <w:r w:rsidRPr="00F07232">
              <w:t>628521,Тюменская  область</w:t>
            </w:r>
          </w:p>
          <w:p w:rsidR="008F167A" w:rsidRPr="00F07232" w:rsidRDefault="008F167A" w:rsidP="008F167A">
            <w:pPr>
              <w:ind w:right="-1"/>
            </w:pPr>
            <w:r w:rsidRPr="00F07232">
              <w:t>Ханты-Мансийский  автономный  округ,</w:t>
            </w:r>
          </w:p>
          <w:p w:rsidR="008F167A" w:rsidRPr="00F07232" w:rsidRDefault="008F167A" w:rsidP="008F167A">
            <w:pPr>
              <w:ind w:right="-1"/>
            </w:pPr>
            <w:r w:rsidRPr="00F07232">
              <w:t>Ханты-Мансийский  район</w:t>
            </w:r>
          </w:p>
          <w:p w:rsidR="008F167A" w:rsidRPr="00F07232" w:rsidRDefault="008F167A" w:rsidP="008F167A">
            <w:pPr>
              <w:ind w:right="-1"/>
            </w:pPr>
            <w:r w:rsidRPr="00F07232">
              <w:t xml:space="preserve">п.  Бобровский,  ул. </w:t>
            </w:r>
            <w:proofErr w:type="gramStart"/>
            <w:r w:rsidRPr="00F07232">
              <w:t>Юбилейная</w:t>
            </w:r>
            <w:proofErr w:type="gramEnd"/>
            <w:r w:rsidRPr="00F07232">
              <w:t>, 14</w:t>
            </w:r>
          </w:p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gramStart"/>
            <w:r>
              <w:t>интернет-страницы</w:t>
            </w:r>
            <w:proofErr w:type="gramEnd"/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67A" w:rsidRPr="00F07232" w:rsidRDefault="008F167A" w:rsidP="008F167A">
            <w:pPr>
              <w:ind w:right="-1"/>
            </w:pPr>
            <w:r w:rsidRPr="00F07232">
              <w:t>628521,Тюменская  область</w:t>
            </w:r>
          </w:p>
          <w:p w:rsidR="008F167A" w:rsidRPr="00F07232" w:rsidRDefault="008F167A" w:rsidP="008F167A">
            <w:pPr>
              <w:ind w:right="-1"/>
            </w:pPr>
            <w:r w:rsidRPr="00F07232">
              <w:t>Ханты-Мансийский  автономный  округ,</w:t>
            </w:r>
          </w:p>
          <w:p w:rsidR="008F167A" w:rsidRPr="00F07232" w:rsidRDefault="008F167A" w:rsidP="008F167A">
            <w:pPr>
              <w:ind w:right="-1"/>
            </w:pPr>
            <w:r w:rsidRPr="00F07232">
              <w:t>Ханты-Мансийский  район</w:t>
            </w:r>
          </w:p>
          <w:p w:rsidR="008F167A" w:rsidRPr="00F07232" w:rsidRDefault="008F167A" w:rsidP="008F167A">
            <w:pPr>
              <w:ind w:right="-1"/>
            </w:pPr>
            <w:r w:rsidRPr="00F07232">
              <w:t xml:space="preserve">п.  Бобровский,  ул. </w:t>
            </w:r>
            <w:proofErr w:type="gramStart"/>
            <w:r w:rsidRPr="00F07232">
              <w:t>Юбилейная</w:t>
            </w:r>
            <w:proofErr w:type="gramEnd"/>
            <w:r w:rsidRPr="00F07232">
              <w:t>, 14</w:t>
            </w:r>
          </w:p>
          <w:p w:rsidR="008F167A" w:rsidRPr="008F167A" w:rsidRDefault="008F167A" w:rsidP="008F167A">
            <w:pPr>
              <w:ind w:right="-1"/>
            </w:pPr>
            <w:r>
              <w:t xml:space="preserve">Тел / факс </w:t>
            </w:r>
          </w:p>
          <w:p w:rsidR="008F167A" w:rsidRPr="008F167A" w:rsidRDefault="008F167A" w:rsidP="008F167A">
            <w:pPr>
              <w:ind w:right="-1"/>
            </w:pPr>
            <w:r>
              <w:t xml:space="preserve">  (3467</w:t>
            </w:r>
            <w:r w:rsidRPr="00F07232">
              <w:t xml:space="preserve">) </w:t>
            </w:r>
            <w:r>
              <w:t>3</w:t>
            </w:r>
            <w:r w:rsidRPr="00F07232">
              <w:t>75-7-16</w:t>
            </w:r>
          </w:p>
          <w:p w:rsidR="001F614D" w:rsidRPr="008F167A" w:rsidRDefault="008F167A" w:rsidP="008F167A">
            <w:pPr>
              <w:ind w:right="-1"/>
            </w:pPr>
            <w:r>
              <w:rPr>
                <w:lang w:val="en-US"/>
              </w:rPr>
              <w:t>www</w:t>
            </w:r>
            <w:r w:rsidRPr="008F167A">
              <w:t>.</w:t>
            </w:r>
            <w:proofErr w:type="spellStart"/>
            <w:r>
              <w:rPr>
                <w:lang w:val="en-US"/>
              </w:rPr>
              <w:t>bobrovskiy</w:t>
            </w:r>
            <w:proofErr w:type="spellEnd"/>
            <w:r w:rsidRPr="008F167A">
              <w:t>.</w:t>
            </w:r>
            <w:r>
              <w:rPr>
                <w:lang w:val="en-US"/>
              </w:rPr>
              <w:t>net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8F167A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Pr="008F167A" w:rsidRDefault="004F5E1B" w:rsidP="004F5E1B">
            <w:pPr>
              <w:shd w:val="clear" w:color="auto" w:fill="FFFFFF"/>
              <w:spacing w:after="200" w:line="276" w:lineRule="auto"/>
              <w:jc w:val="both"/>
            </w:pPr>
            <w:r>
              <w:t>Администрация Ханты-Мансийского района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974221" w:rsidP="004F5E1B">
            <w:pPr>
              <w:ind w:right="-1"/>
            </w:pPr>
            <w:r w:rsidRPr="00D95A4B">
              <w:t>628001, Российская Федерация, Тюменская область, Ханты-Мансийский автономный округ-Югра,</w:t>
            </w:r>
            <w:r w:rsidR="001459F2">
              <w:t xml:space="preserve"> </w:t>
            </w:r>
            <w:r w:rsidRPr="00D95A4B">
              <w:t>г. Ханты-Мансийск, ул</w:t>
            </w:r>
            <w:proofErr w:type="gramStart"/>
            <w:r w:rsidRPr="00D95A4B">
              <w:t>.Г</w:t>
            </w:r>
            <w:proofErr w:type="gramEnd"/>
            <w:r w:rsidRPr="00D95A4B">
              <w:t>агарина, д.214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4F5E1B" w:rsidP="004F5E1B">
            <w:pPr>
              <w:ind w:right="-1"/>
            </w:pPr>
            <w:r>
              <w:t>8 (3467)73-52-80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4F5E1B" w:rsidP="001F614D">
            <w:pPr>
              <w:shd w:val="clear" w:color="auto" w:fill="FFFFFF"/>
              <w:spacing w:after="200" w:line="276" w:lineRule="auto"/>
              <w:jc w:val="both"/>
            </w:pPr>
            <w:r>
              <w:t>Захаров Пётр Николаевич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1.6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4F5E1B" w:rsidP="001F614D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85207" w:rsidP="001F614D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 w:rsidR="001459F2"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85207" w:rsidP="001F614D">
            <w:pPr>
              <w:shd w:val="clear" w:color="auto" w:fill="FFFFFF"/>
              <w:spacing w:after="200" w:line="276" w:lineRule="auto"/>
              <w:jc w:val="both"/>
            </w:pPr>
            <w:r>
              <w:t>8 (4367)</w:t>
            </w:r>
            <w:r w:rsidR="004F5E1B">
              <w:t>32-25-45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4F5E1B" w:rsidP="001F614D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4F5E1B" w:rsidP="001F614D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4F5E1B" w:rsidP="004F5E1B">
            <w:pPr>
              <w:shd w:val="clear" w:color="auto" w:fill="FFFFFF"/>
              <w:spacing w:after="200" w:line="276" w:lineRule="auto"/>
              <w:jc w:val="both"/>
            </w:pPr>
            <w:r>
              <w:t>Корчагина Валентина Антоновна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высшее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9 месяцев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375798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1.9.</w:t>
            </w:r>
          </w:p>
        </w:tc>
        <w:tc>
          <w:tcPr>
            <w:tcW w:w="510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Устав МКОУ ХМР СОШ п. Бобровский</w:t>
            </w:r>
          </w:p>
        </w:tc>
      </w:tr>
      <w:tr w:rsidR="001F614D" w:rsidTr="00974221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14D" w:rsidRDefault="001F614D" w:rsidP="001F614D"/>
        </w:tc>
        <w:tc>
          <w:tcPr>
            <w:tcW w:w="510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14D" w:rsidRDefault="001F614D" w:rsidP="001F614D"/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2012г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сезонно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1.12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30 человек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21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30 человек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6-14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Здания и сооружения нежилого назначения: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gramStart"/>
            <w:r>
              <w:t>пост-ройки</w:t>
            </w:r>
            <w:proofErr w:type="gram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</w:t>
            </w:r>
            <w:proofErr w:type="spellStart"/>
            <w:r>
              <w:t>какое</w:t>
            </w:r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капи-таль-ного</w:t>
            </w:r>
            <w:r>
              <w:t>ре-мон-та</w:t>
            </w:r>
            <w:proofErr w:type="spellEnd"/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5 га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1 га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есть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соответствует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Река – 1км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забор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полная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tabs>
                <w:tab w:val="left" w:pos="1114"/>
              </w:tabs>
              <w:spacing w:after="200" w:line="276" w:lineRule="auto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35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</w:pPr>
            <w:r>
              <w:t>Штатная численность организации</w:t>
            </w:r>
          </w:p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  <w:r w:rsidR="00D83E76">
              <w:t xml:space="preserve"> вожатые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D83E76" w:rsidP="001F614D">
            <w:pPr>
              <w:shd w:val="clear" w:color="auto" w:fill="FFFFFF"/>
              <w:spacing w:after="200" w:line="276" w:lineRule="auto"/>
              <w:jc w:val="both"/>
            </w:pPr>
            <w:r>
              <w:t>2</w:t>
            </w:r>
          </w:p>
        </w:tc>
        <w:tc>
          <w:tcPr>
            <w:tcW w:w="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58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34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>%)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1986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122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25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1986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122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25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C2254F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1986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122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25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1986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122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25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2005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1986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200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70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C2254F" w:rsidP="001F614D">
            <w:pPr>
              <w:shd w:val="clear" w:color="auto" w:fill="FFFFFF"/>
              <w:spacing w:after="200" w:line="276" w:lineRule="auto"/>
              <w:jc w:val="both"/>
            </w:pPr>
            <w:r>
              <w:t>30</w:t>
            </w:r>
            <w:bookmarkStart w:id="0" w:name="_GoBack"/>
            <w:bookmarkEnd w:id="0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10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 xml:space="preserve">Учебные кабинеты 3 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Актовый зал – 50 п</w:t>
            </w:r>
            <w:proofErr w:type="gramStart"/>
            <w:r>
              <w:t>.м</w:t>
            </w:r>
            <w:proofErr w:type="gramEnd"/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>%)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капи-таль-ногоремон-та</w:t>
            </w:r>
            <w:proofErr w:type="spellEnd"/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lastRenderedPageBreak/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2011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54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100%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Привозная (бутилированная) вода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pacing w:after="200" w:line="276" w:lineRule="auto"/>
            </w:pPr>
          </w:p>
        </w:tc>
        <w:tc>
          <w:tcPr>
            <w:tcW w:w="1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  <w:tc>
          <w:tcPr>
            <w:tcW w:w="1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централизованное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lastRenderedPageBreak/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полностью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полностью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F614D" w:rsidTr="00974221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both"/>
            </w:pPr>
            <w:r>
              <w:lastRenderedPageBreak/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</w:tbl>
    <w:p w:rsidR="001F614D" w:rsidRDefault="001F614D" w:rsidP="001F614D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1F614D" w:rsidRDefault="001F614D" w:rsidP="001F614D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</w:pPr>
            <w:r>
              <w:t xml:space="preserve">300 </w:t>
            </w:r>
            <w:proofErr w:type="spellStart"/>
            <w:r>
              <w:t>руб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</w:pPr>
            <w:r>
              <w:t xml:space="preserve">500 </w:t>
            </w:r>
            <w:proofErr w:type="spellStart"/>
            <w:r>
              <w:t>руб</w:t>
            </w:r>
            <w:proofErr w:type="spellEnd"/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AB4EE6" w:rsidP="001F614D">
            <w:pPr>
              <w:shd w:val="clear" w:color="auto" w:fill="FFFFFF"/>
              <w:spacing w:after="200" w:line="276" w:lineRule="auto"/>
            </w:pPr>
            <w:r>
              <w:t>103руб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1F614D" w:rsidTr="001F614D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F614D" w:rsidRDefault="001F614D" w:rsidP="001F614D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1F614D" w:rsidRDefault="001F614D" w:rsidP="001F614D">
      <w:pPr>
        <w:shd w:val="clear" w:color="auto" w:fill="FFFFFF"/>
        <w:tabs>
          <w:tab w:val="left" w:pos="7080"/>
          <w:tab w:val="left" w:leader="underscore" w:pos="9554"/>
        </w:tabs>
      </w:pPr>
    </w:p>
    <w:p w:rsidR="001F614D" w:rsidRDefault="001F614D" w:rsidP="00AB4EE6">
      <w:pPr>
        <w:shd w:val="clear" w:color="auto" w:fill="FFFFFF"/>
        <w:tabs>
          <w:tab w:val="left" w:pos="7080"/>
          <w:tab w:val="left" w:leader="underscore" w:pos="9554"/>
        </w:tabs>
        <w:rPr>
          <w:iCs/>
        </w:rPr>
      </w:pPr>
      <w:r>
        <w:t xml:space="preserve">Руководитель организации                         </w:t>
      </w:r>
      <w:r w:rsidR="00AB4EE6" w:rsidRPr="00C86FA3">
        <w:rPr>
          <w:noProof/>
        </w:rPr>
        <w:drawing>
          <wp:inline distT="0" distB="0" distL="0" distR="0">
            <wp:extent cx="2419350" cy="86142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918" cy="86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подпись </w:t>
      </w:r>
    </w:p>
    <w:p w:rsidR="001F614D" w:rsidRDefault="001F614D" w:rsidP="001F614D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1F614D" w:rsidRDefault="001F614D" w:rsidP="001F614D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0A04AF">
      <w:pPr>
        <w:tabs>
          <w:tab w:val="left" w:pos="11910"/>
        </w:tabs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 w:rsidP="001F614D">
      <w:pPr>
        <w:tabs>
          <w:tab w:val="left" w:pos="11910"/>
        </w:tabs>
        <w:ind w:left="709" w:hanging="709"/>
        <w:jc w:val="center"/>
        <w:rPr>
          <w:rFonts w:ascii="Times New Roman CYR" w:hAnsi="Times New Roman CYR" w:cs="Times New Roman CYR"/>
        </w:rPr>
      </w:pPr>
    </w:p>
    <w:p w:rsidR="001F614D" w:rsidRDefault="001F614D"/>
    <w:sectPr w:rsidR="001F614D" w:rsidSect="004E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F7C"/>
    <w:rsid w:val="000A04AF"/>
    <w:rsid w:val="001459F2"/>
    <w:rsid w:val="001F614D"/>
    <w:rsid w:val="00251F7C"/>
    <w:rsid w:val="003368B2"/>
    <w:rsid w:val="003C7902"/>
    <w:rsid w:val="00462F8E"/>
    <w:rsid w:val="004E742A"/>
    <w:rsid w:val="004F5E1B"/>
    <w:rsid w:val="005763F7"/>
    <w:rsid w:val="005B0E15"/>
    <w:rsid w:val="00674845"/>
    <w:rsid w:val="007809AA"/>
    <w:rsid w:val="008F167A"/>
    <w:rsid w:val="00965597"/>
    <w:rsid w:val="00974221"/>
    <w:rsid w:val="00A85207"/>
    <w:rsid w:val="00AB3B5B"/>
    <w:rsid w:val="00AB4EE6"/>
    <w:rsid w:val="00C2254F"/>
    <w:rsid w:val="00C9274B"/>
    <w:rsid w:val="00D83E76"/>
    <w:rsid w:val="00E57FDA"/>
    <w:rsid w:val="00FC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1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F61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F61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F61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F614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1F61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1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F614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F61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F61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F614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1F614D"/>
    <w:rPr>
      <w:rFonts w:ascii="Cambria" w:eastAsia="Times New Roman" w:hAnsi="Cambria" w:cs="Times New Roman"/>
      <w:lang w:eastAsia="ru-RU"/>
    </w:rPr>
  </w:style>
  <w:style w:type="character" w:styleId="a3">
    <w:name w:val="Hyperlink"/>
    <w:basedOn w:val="a0"/>
    <w:rsid w:val="001F614D"/>
    <w:rPr>
      <w:color w:val="0000FF"/>
      <w:u w:val="single"/>
    </w:rPr>
  </w:style>
  <w:style w:type="paragraph" w:styleId="a4">
    <w:name w:val="Balloon Text"/>
    <w:basedOn w:val="a"/>
    <w:link w:val="a5"/>
    <w:semiHidden/>
    <w:rsid w:val="001F6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F61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F614D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61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1F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F614D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Таблицы (моноширинный)"/>
    <w:basedOn w:val="a"/>
    <w:next w:val="a"/>
    <w:rsid w:val="001F614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1F614D"/>
    <w:rPr>
      <w:b/>
      <w:bCs/>
      <w:color w:val="000080"/>
      <w:sz w:val="20"/>
      <w:szCs w:val="20"/>
    </w:rPr>
  </w:style>
  <w:style w:type="paragraph" w:styleId="ab">
    <w:name w:val="Body Text"/>
    <w:basedOn w:val="a"/>
    <w:link w:val="ac"/>
    <w:rsid w:val="001F614D"/>
    <w:pPr>
      <w:jc w:val="both"/>
    </w:pPr>
  </w:style>
  <w:style w:type="character" w:customStyle="1" w:styleId="ac">
    <w:name w:val="Основной текст Знак"/>
    <w:basedOn w:val="a0"/>
    <w:link w:val="ab"/>
    <w:rsid w:val="001F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F614D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F61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1F614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1F614D"/>
    <w:pPr>
      <w:spacing w:before="100" w:beforeAutospacing="1" w:after="100" w:afterAutospacing="1"/>
    </w:pPr>
  </w:style>
  <w:style w:type="paragraph" w:styleId="ad">
    <w:name w:val="List Paragraph"/>
    <w:aliases w:val="Варианты ответов"/>
    <w:basedOn w:val="a"/>
    <w:uiPriority w:val="34"/>
    <w:qFormat/>
    <w:rsid w:val="001F614D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23">
    <w:name w:val="Body Text Indent 2"/>
    <w:basedOn w:val="a"/>
    <w:link w:val="24"/>
    <w:rsid w:val="001F614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F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1F614D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f">
    <w:name w:val="Plain Text"/>
    <w:basedOn w:val="a"/>
    <w:link w:val="af0"/>
    <w:unhideWhenUsed/>
    <w:rsid w:val="001F614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f0">
    <w:name w:val="Текст Знак"/>
    <w:basedOn w:val="a0"/>
    <w:link w:val="af"/>
    <w:rsid w:val="001F614D"/>
    <w:rPr>
      <w:rFonts w:ascii="Consolas" w:eastAsia="Calibri" w:hAnsi="Consolas" w:cs="Times New Roman"/>
      <w:sz w:val="21"/>
      <w:szCs w:val="21"/>
      <w:lang w:val="en-US" w:bidi="en-US"/>
    </w:rPr>
  </w:style>
  <w:style w:type="paragraph" w:customStyle="1" w:styleId="af1">
    <w:name w:val="Знак"/>
    <w:basedOn w:val="a"/>
    <w:rsid w:val="001F61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rmal (Web)"/>
    <w:basedOn w:val="a"/>
    <w:rsid w:val="001F614D"/>
    <w:pPr>
      <w:spacing w:before="100" w:beforeAutospacing="1" w:after="100" w:afterAutospacing="1"/>
    </w:pPr>
  </w:style>
  <w:style w:type="paragraph" w:customStyle="1" w:styleId="ConsPlusNormal">
    <w:name w:val="ConsPlusNormal"/>
    <w:rsid w:val="001F6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uiPriority w:val="1"/>
    <w:qFormat/>
    <w:rsid w:val="001F614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ignature"/>
    <w:basedOn w:val="a"/>
    <w:link w:val="af5"/>
    <w:unhideWhenUsed/>
    <w:rsid w:val="001F614D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5">
    <w:name w:val="Подпись Знак"/>
    <w:basedOn w:val="a0"/>
    <w:link w:val="af4"/>
    <w:rsid w:val="001F614D"/>
    <w:rPr>
      <w:rFonts w:ascii="Arial" w:eastAsia="Times New Roman" w:hAnsi="Arial" w:cs="Times New Roman"/>
      <w:i/>
      <w:sz w:val="26"/>
      <w:szCs w:val="24"/>
      <w:lang w:eastAsia="ru-RU"/>
    </w:rPr>
  </w:style>
  <w:style w:type="paragraph" w:styleId="af6">
    <w:name w:val="header"/>
    <w:basedOn w:val="a"/>
    <w:link w:val="af7"/>
    <w:unhideWhenUsed/>
    <w:rsid w:val="001F614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1F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1F614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1F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F614D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1F614D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1F614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1F614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a">
    <w:name w:val="Subtle Emphasis"/>
    <w:basedOn w:val="a0"/>
    <w:uiPriority w:val="19"/>
    <w:qFormat/>
    <w:rsid w:val="001F614D"/>
    <w:rPr>
      <w:i/>
      <w:iCs/>
      <w:color w:val="808080"/>
    </w:rPr>
  </w:style>
  <w:style w:type="paragraph" w:customStyle="1" w:styleId="afb">
    <w:name w:val="Инструкции"/>
    <w:basedOn w:val="a"/>
    <w:link w:val="afc"/>
    <w:qFormat/>
    <w:rsid w:val="001F614D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c">
    <w:name w:val="Инструкции Знак"/>
    <w:basedOn w:val="a0"/>
    <w:link w:val="afb"/>
    <w:rsid w:val="001F614D"/>
    <w:rPr>
      <w:rFonts w:ascii="Times New Roman" w:eastAsia="Times New Roman" w:hAnsi="Times New Roman" w:cs="Arial"/>
      <w:i/>
      <w:color w:val="7E7E7E"/>
      <w:sz w:val="24"/>
      <w:szCs w:val="24"/>
      <w:lang w:eastAsia="ru-RU"/>
    </w:rPr>
  </w:style>
  <w:style w:type="character" w:styleId="afd">
    <w:name w:val="Emphasis"/>
    <w:basedOn w:val="a0"/>
    <w:qFormat/>
    <w:rsid w:val="001F614D"/>
    <w:rPr>
      <w:i/>
      <w:iCs/>
    </w:rPr>
  </w:style>
  <w:style w:type="character" w:customStyle="1" w:styleId="apple-style-span">
    <w:name w:val="apple-style-span"/>
    <w:basedOn w:val="a0"/>
    <w:rsid w:val="001F614D"/>
  </w:style>
  <w:style w:type="character" w:customStyle="1" w:styleId="apple-converted-space">
    <w:name w:val="apple-converted-space"/>
    <w:basedOn w:val="a0"/>
    <w:rsid w:val="001F614D"/>
  </w:style>
  <w:style w:type="paragraph" w:customStyle="1" w:styleId="msonormalcxspmiddle">
    <w:name w:val="msonormalcxspmiddle"/>
    <w:basedOn w:val="a"/>
    <w:rsid w:val="001F61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1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F61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F61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F61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F614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1F61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1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F614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F61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F61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F614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1F614D"/>
    <w:rPr>
      <w:rFonts w:ascii="Cambria" w:eastAsia="Times New Roman" w:hAnsi="Cambria" w:cs="Times New Roman"/>
      <w:lang w:eastAsia="ru-RU"/>
    </w:rPr>
  </w:style>
  <w:style w:type="character" w:styleId="a3">
    <w:name w:val="Hyperlink"/>
    <w:basedOn w:val="a0"/>
    <w:rsid w:val="001F614D"/>
    <w:rPr>
      <w:color w:val="0000FF"/>
      <w:u w:val="single"/>
    </w:rPr>
  </w:style>
  <w:style w:type="paragraph" w:styleId="a4">
    <w:name w:val="Balloon Text"/>
    <w:basedOn w:val="a"/>
    <w:link w:val="a5"/>
    <w:semiHidden/>
    <w:rsid w:val="001F61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F61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F614D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61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uiPriority w:val="59"/>
    <w:rsid w:val="001F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F614D"/>
    <w:pPr>
      <w:widowControl w:val="0"/>
      <w:autoSpaceDE w:val="0"/>
      <w:autoSpaceDN w:val="0"/>
      <w:adjustRightInd w:val="0"/>
      <w:spacing w:after="0" w:line="300" w:lineRule="auto"/>
      <w:ind w:left="360" w:hanging="3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Таблицы (моноширинный)"/>
    <w:basedOn w:val="a"/>
    <w:next w:val="a"/>
    <w:rsid w:val="001F614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1F614D"/>
    <w:rPr>
      <w:b/>
      <w:bCs/>
      <w:color w:val="000080"/>
      <w:sz w:val="20"/>
      <w:szCs w:val="20"/>
    </w:rPr>
  </w:style>
  <w:style w:type="paragraph" w:styleId="ab">
    <w:name w:val="Body Text"/>
    <w:basedOn w:val="a"/>
    <w:link w:val="ac"/>
    <w:rsid w:val="001F614D"/>
    <w:pPr>
      <w:jc w:val="both"/>
    </w:pPr>
  </w:style>
  <w:style w:type="character" w:customStyle="1" w:styleId="ac">
    <w:name w:val="Основной текст Знак"/>
    <w:basedOn w:val="a0"/>
    <w:link w:val="ab"/>
    <w:rsid w:val="001F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F614D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F61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1F614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1F614D"/>
    <w:pPr>
      <w:spacing w:before="100" w:beforeAutospacing="1" w:after="100" w:afterAutospacing="1"/>
    </w:pPr>
  </w:style>
  <w:style w:type="paragraph" w:styleId="ad">
    <w:name w:val="List Paragraph"/>
    <w:aliases w:val="Варианты ответов"/>
    <w:basedOn w:val="a"/>
    <w:uiPriority w:val="34"/>
    <w:qFormat/>
    <w:rsid w:val="001F614D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23">
    <w:name w:val="Body Text Indent 2"/>
    <w:basedOn w:val="a"/>
    <w:link w:val="24"/>
    <w:rsid w:val="001F614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F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1F614D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f">
    <w:name w:val="Plain Text"/>
    <w:basedOn w:val="a"/>
    <w:link w:val="af0"/>
    <w:unhideWhenUsed/>
    <w:rsid w:val="001F614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f0">
    <w:name w:val="Текст Знак"/>
    <w:basedOn w:val="a0"/>
    <w:link w:val="af"/>
    <w:rsid w:val="001F614D"/>
    <w:rPr>
      <w:rFonts w:ascii="Consolas" w:eastAsia="Calibri" w:hAnsi="Consolas" w:cs="Times New Roman"/>
      <w:sz w:val="21"/>
      <w:szCs w:val="21"/>
      <w:lang w:val="en-US" w:bidi="en-US"/>
    </w:rPr>
  </w:style>
  <w:style w:type="paragraph" w:customStyle="1" w:styleId="af1">
    <w:name w:val="Знак"/>
    <w:basedOn w:val="a"/>
    <w:rsid w:val="001F61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rmal (Web)"/>
    <w:basedOn w:val="a"/>
    <w:rsid w:val="001F614D"/>
    <w:pPr>
      <w:spacing w:before="100" w:beforeAutospacing="1" w:after="100" w:afterAutospacing="1"/>
    </w:pPr>
  </w:style>
  <w:style w:type="paragraph" w:customStyle="1" w:styleId="ConsPlusNormal">
    <w:name w:val="ConsPlusNormal"/>
    <w:rsid w:val="001F61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 Spacing"/>
    <w:uiPriority w:val="1"/>
    <w:qFormat/>
    <w:rsid w:val="001F614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ignature"/>
    <w:basedOn w:val="a"/>
    <w:link w:val="af5"/>
    <w:unhideWhenUsed/>
    <w:rsid w:val="001F614D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5">
    <w:name w:val="Подпись Знак"/>
    <w:basedOn w:val="a0"/>
    <w:link w:val="af4"/>
    <w:rsid w:val="001F614D"/>
    <w:rPr>
      <w:rFonts w:ascii="Arial" w:eastAsia="Times New Roman" w:hAnsi="Arial" w:cs="Times New Roman"/>
      <w:i/>
      <w:sz w:val="26"/>
      <w:szCs w:val="24"/>
      <w:lang w:eastAsia="ru-RU"/>
    </w:rPr>
  </w:style>
  <w:style w:type="paragraph" w:styleId="af6">
    <w:name w:val="header"/>
    <w:basedOn w:val="a"/>
    <w:link w:val="af7"/>
    <w:unhideWhenUsed/>
    <w:rsid w:val="001F614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1F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1F614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1F6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F614D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1F614D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1F614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1F614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a">
    <w:name w:val="Subtle Emphasis"/>
    <w:basedOn w:val="a0"/>
    <w:uiPriority w:val="19"/>
    <w:qFormat/>
    <w:rsid w:val="001F614D"/>
    <w:rPr>
      <w:i/>
      <w:iCs/>
      <w:color w:val="808080"/>
    </w:rPr>
  </w:style>
  <w:style w:type="paragraph" w:customStyle="1" w:styleId="afb">
    <w:name w:val="Инструкции"/>
    <w:basedOn w:val="a"/>
    <w:link w:val="afc"/>
    <w:qFormat/>
    <w:rsid w:val="001F614D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c">
    <w:name w:val="Инструкции Знак"/>
    <w:basedOn w:val="a0"/>
    <w:link w:val="afb"/>
    <w:rsid w:val="001F614D"/>
    <w:rPr>
      <w:rFonts w:ascii="Times New Roman" w:eastAsia="Times New Roman" w:hAnsi="Times New Roman" w:cs="Arial"/>
      <w:i/>
      <w:color w:val="7E7E7E"/>
      <w:sz w:val="24"/>
      <w:szCs w:val="24"/>
      <w:lang w:eastAsia="ru-RU"/>
    </w:rPr>
  </w:style>
  <w:style w:type="character" w:styleId="afd">
    <w:name w:val="Emphasis"/>
    <w:basedOn w:val="a0"/>
    <w:qFormat/>
    <w:rsid w:val="001F614D"/>
    <w:rPr>
      <w:i/>
      <w:iCs/>
    </w:rPr>
  </w:style>
  <w:style w:type="character" w:customStyle="1" w:styleId="apple-style-span">
    <w:name w:val="apple-style-span"/>
    <w:basedOn w:val="a0"/>
    <w:rsid w:val="001F614D"/>
  </w:style>
  <w:style w:type="character" w:customStyle="1" w:styleId="apple-converted-space">
    <w:name w:val="apple-converted-space"/>
    <w:basedOn w:val="a0"/>
    <w:rsid w:val="001F614D"/>
  </w:style>
  <w:style w:type="paragraph" w:customStyle="1" w:styleId="msonormalcxspmiddle">
    <w:name w:val="msonormalcxspmiddle"/>
    <w:basedOn w:val="a"/>
    <w:rsid w:val="001F61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15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Директорская</dc:creator>
  <cp:keywords/>
  <dc:description/>
  <cp:lastModifiedBy>user</cp:lastModifiedBy>
  <cp:revision>10</cp:revision>
  <dcterms:created xsi:type="dcterms:W3CDTF">2012-01-20T03:25:00Z</dcterms:created>
  <dcterms:modified xsi:type="dcterms:W3CDTF">2012-02-03T08:04:00Z</dcterms:modified>
</cp:coreProperties>
</file>